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2"/>
        <w:ind w:left="0" w:firstLine="0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ПОЯСНИТЕЛЬНАЯ ЗАПИСКА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распоряжения Правительства </w:t>
      </w: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проекте закона Московской области </w:t>
      </w:r>
      <w:r>
        <w:rPr>
          <w:sz w:val="28"/>
          <w:szCs w:val="28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распоряжения Правительства </w:t>
      </w: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t xml:space="preserve">«О проекте закона Московской области </w:t>
      </w:r>
      <w:r>
        <w:rPr>
          <w:sz w:val="28"/>
          <w:szCs w:val="28"/>
        </w:rPr>
        <w:t xml:space="preserve">«О внесении изменений в Закон Московской области </w:t>
        <w:br/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 xml:space="preserve">(далее – проект распоряжения) </w:t>
      </w:r>
      <w:r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бюджетным законодательством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предусматривает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изменение показателей, утвержденных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7"/>
        <w:ind w:firstLine="709"/>
        <w:jc w:val="both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Основными причинами внесения изменений в бюджет Территориального фонда обязательного медицинского страхования Московской области </w:t>
      </w:r>
      <w:r>
        <w:rPr>
          <w:sz w:val="28"/>
          <w:szCs w:val="28"/>
        </w:rPr>
        <w:br/>
        <w:t xml:space="preserve">(далее – Фонд) являются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7"/>
        <w:ind w:firstLine="709"/>
        <w:jc w:val="both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поступления </w:t>
      </w:r>
      <w:r>
        <w:rPr>
          <w:sz w:val="28"/>
          <w:szCs w:val="28"/>
        </w:rPr>
        <w:t xml:space="preserve">денежных средств в соответствии </w:t>
      </w:r>
      <w:r>
        <w:rPr>
          <w:sz w:val="28"/>
          <w:szCs w:val="28"/>
        </w:rPr>
        <w:t xml:space="preserve">с пунктом 2 Правил предоставления межбюджетных трансфертов из</w:t>
      </w:r>
      <w:r>
        <w:rPr>
          <w:sz w:val="28"/>
          <w:szCs w:val="28"/>
        </w:rPr>
        <w:t xml:space="preserve"> бюджета Федерального фонда обязательного медицинского страхования </w:t>
      </w:r>
      <w:r>
        <w:rPr>
          <w:sz w:val="28"/>
          <w:szCs w:val="28"/>
        </w:rPr>
        <w:t xml:space="preserve">(далее - ФФОМС) </w:t>
      </w:r>
      <w:r>
        <w:rPr>
          <w:sz w:val="28"/>
          <w:szCs w:val="28"/>
        </w:rPr>
        <w:t xml:space="preserve">для софинансирования расходов медицинских организаций на оплату труда врачей </w:t>
      </w:r>
      <w:r>
        <w:rPr>
          <w:sz w:val="28"/>
          <w:szCs w:val="28"/>
        </w:rPr>
        <w:t xml:space="preserve">и среднего медицинского персонала, утвержденных постановлением Правительства Российской Федерации </w:t>
        <w:br/>
        <w:t xml:space="preserve">от </w:t>
      </w:r>
      <w:r>
        <w:rPr>
          <w:sz w:val="28"/>
          <w:szCs w:val="28"/>
          <w:highlight w:val="none"/>
        </w:rPr>
        <w:t xml:space="preserve">27.12.2019 № 1910</w:t>
      </w:r>
      <w:r>
        <w:rPr>
          <w:sz w:val="28"/>
          <w:szCs w:val="28"/>
        </w:rPr>
        <w:t xml:space="preserve">, уведомлением ФФОМС по расчетам между бюджетами</w:t>
        <w:br/>
        <w:t xml:space="preserve">от 16.04.2025 № 7-17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межбюджетных</w:t>
      </w:r>
      <w:r>
        <w:rPr>
          <w:sz w:val="28"/>
          <w:szCs w:val="28"/>
        </w:rPr>
        <w:t xml:space="preserve"> трансфертов из бюджета Московской области в рамках постановлени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Правительства Московской области </w:t>
      </w:r>
      <w:r>
        <w:rPr>
          <w:sz w:val="28"/>
          <w:szCs w:val="28"/>
        </w:rPr>
        <w:t xml:space="preserve">от 05.05.2025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464-ПП </w:t>
        <w:br/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распределении бюджетных ассигнований бюджета Московской области </w:t>
        <w:br/>
        <w:t xml:space="preserve">и внесении изменений в государственную программу Московской области «Здравоохранение Подмосковья» на 2023-2027 годы»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7"/>
        <w:ind w:firstLine="709"/>
        <w:jc w:val="both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передач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Фонду </w:t>
      </w:r>
      <w:r>
        <w:rPr>
          <w:sz w:val="28"/>
          <w:szCs w:val="28"/>
        </w:rPr>
        <w:t xml:space="preserve">полномочий по организации оказания медицинской помощи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свербазовой</w:t>
      </w:r>
      <w:r>
        <w:rPr>
          <w:sz w:val="28"/>
          <w:szCs w:val="28"/>
        </w:rPr>
        <w:t xml:space="preserve"> программы обязательного медицинского страхования </w:t>
      </w:r>
      <w:r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 xml:space="preserve">сверхбазовая</w:t>
      </w:r>
      <w:r>
        <w:rPr>
          <w:sz w:val="28"/>
          <w:szCs w:val="28"/>
        </w:rPr>
        <w:t xml:space="preserve"> программа ОМС) </w:t>
      </w:r>
      <w:r>
        <w:rPr>
          <w:sz w:val="28"/>
          <w:szCs w:val="28"/>
        </w:rPr>
        <w:t xml:space="preserve">и соответствующее </w:t>
      </w:r>
      <w:r>
        <w:rPr>
          <w:sz w:val="28"/>
          <w:szCs w:val="28"/>
        </w:rPr>
        <w:t xml:space="preserve">внесени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изменений </w:t>
        <w:br/>
        <w:t xml:space="preserve">в государственную программу Московской области </w:t>
      </w:r>
      <w:r>
        <w:rPr>
          <w:sz w:val="28"/>
          <w:szCs w:val="28"/>
        </w:rPr>
        <w:t xml:space="preserve">«Здравоохранение Подмосковья» на 2023–2027 годы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постановлени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Московской области №</w:t>
      </w:r>
      <w:r>
        <w:rPr>
          <w:sz w:val="28"/>
          <w:szCs w:val="28"/>
        </w:rPr>
        <w:t xml:space="preserve"> 448-</w:t>
      </w:r>
      <w:r>
        <w:rPr>
          <w:sz w:val="28"/>
          <w:szCs w:val="28"/>
        </w:rPr>
        <w:t xml:space="preserve">ПП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7"/>
        <w:ind w:firstLine="709"/>
        <w:jc w:val="both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наличие </w:t>
      </w:r>
      <w:r>
        <w:rPr>
          <w:sz w:val="28"/>
          <w:szCs w:val="28"/>
        </w:rPr>
        <w:t xml:space="preserve">остатк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 межбюджетных трансфертов из бюджета Московской области, неиспользованны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по состоянию на 1 января 2025 года,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дополнительное финансовое обеспечение реализации Московской областной программы обязательного медицинского страхования в части базовой программы обязательного медицинского страхования</w:t>
      </w:r>
      <w:r>
        <w:rPr>
          <w:sz w:val="28"/>
          <w:szCs w:val="28"/>
        </w:rPr>
        <w:t xml:space="preserve"> (подтвержденная потребность).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 распоряжения предусматривает: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1) увеличение общего объема доходов бюджета Фонда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2025 году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2 624 219,3</w:t>
      </w:r>
      <w:r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или на </w:t>
      </w:r>
      <w:r>
        <w:rPr>
          <w:sz w:val="28"/>
          <w:szCs w:val="28"/>
        </w:rPr>
        <w:t xml:space="preserve">1,3</w:t>
      </w:r>
      <w:r>
        <w:rPr>
          <w:sz w:val="28"/>
          <w:szCs w:val="28"/>
        </w:rPr>
        <w:t xml:space="preserve"> %, </w:t>
      </w:r>
      <w:r>
        <w:rPr>
          <w:sz w:val="28"/>
          <w:szCs w:val="28"/>
        </w:rPr>
        <w:t xml:space="preserve">со </w:t>
      </w:r>
      <w:r>
        <w:rPr>
          <w:sz w:val="28"/>
          <w:szCs w:val="28"/>
        </w:rPr>
        <w:t xml:space="preserve">198 120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69,8</w:t>
      </w:r>
      <w:r>
        <w:rPr>
          <w:sz w:val="28"/>
          <w:szCs w:val="28"/>
        </w:rPr>
        <w:t xml:space="preserve"> тыс. рублей </w:t>
        <w:br/>
      </w:r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200 744 289,1</w:t>
      </w:r>
      <w:r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 счет поступлени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в виде межбюджетн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из бюджета </w:t>
      </w:r>
      <w:r>
        <w:rPr>
          <w:sz w:val="28"/>
          <w:szCs w:val="28"/>
        </w:rPr>
        <w:t xml:space="preserve">ФФ</w:t>
      </w:r>
      <w:r>
        <w:rPr>
          <w:sz w:val="28"/>
          <w:szCs w:val="28"/>
        </w:rPr>
        <w:t xml:space="preserve">ОМС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12 676,3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межбюджетных трансфертов </w:t>
      </w:r>
      <w:r>
        <w:rPr>
          <w:sz w:val="28"/>
          <w:szCs w:val="28"/>
        </w:rPr>
        <w:t xml:space="preserve">из бюджета Московской области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на ф</w:t>
      </w:r>
      <w:r>
        <w:rPr>
          <w:sz w:val="28"/>
          <w:szCs w:val="28"/>
        </w:rPr>
        <w:t xml:space="preserve">инансовое обеспечение 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1 823 294,0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</w:t>
        <w:br/>
        <w:t xml:space="preserve">в сумме </w:t>
      </w:r>
      <w:r>
        <w:rPr>
          <w:sz w:val="28"/>
          <w:szCs w:val="28"/>
        </w:rPr>
        <w:t xml:space="preserve">788</w:t>
      </w:r>
      <w:r>
        <w:rPr>
          <w:sz w:val="28"/>
          <w:szCs w:val="28"/>
        </w:rPr>
        <w:t xml:space="preserve"> 249,0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2) </w:t>
      </w:r>
      <w:r>
        <w:rPr>
          <w:sz w:val="28"/>
          <w:szCs w:val="28"/>
        </w:rPr>
        <w:t xml:space="preserve">увеличение общего объема доходов бюджета Фонда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сумм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3 664 148,0 тыс. рублей и 3 683 743,0 тыс. рублей </w:t>
      </w:r>
      <w:r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межбюджетных трансфертов </w:t>
        <w:br/>
        <w:t xml:space="preserve">из бюджета Московской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соответственно в 2026 и 2027 годах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увеличение общего объема расходов бюджета Фонда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2025 году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3 672 619,8</w:t>
      </w:r>
      <w:r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 xml:space="preserve">1,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со </w:t>
      </w:r>
      <w:r>
        <w:rPr>
          <w:sz w:val="28"/>
          <w:szCs w:val="28"/>
        </w:rPr>
        <w:t xml:space="preserve">198 194 046,2</w:t>
      </w:r>
      <w:r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201 866 666,0</w:t>
      </w:r>
      <w:r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>
        <w:rPr>
          <w:sz w:val="28"/>
          <w:szCs w:val="28"/>
        </w:rPr>
        <w:t xml:space="preserve">софинансирование</w:t>
      </w:r>
      <w:r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в сумме </w:t>
      </w:r>
      <w:r>
        <w:rPr>
          <w:sz w:val="28"/>
          <w:szCs w:val="28"/>
        </w:rPr>
        <w:t xml:space="preserve">12 676,3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ф</w:t>
      </w:r>
      <w:r>
        <w:rPr>
          <w:sz w:val="28"/>
          <w:szCs w:val="28"/>
        </w:rPr>
        <w:t xml:space="preserve">инансовое обеспечение 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</w:t>
      </w:r>
      <w:r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 819 834</w:t>
      </w:r>
      <w:r>
        <w:rPr>
          <w:sz w:val="28"/>
          <w:szCs w:val="28"/>
        </w:rPr>
        <w:t xml:space="preserve">,0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>
        <w:rPr>
          <w:sz w:val="28"/>
          <w:szCs w:val="28"/>
        </w:rPr>
        <w:t xml:space="preserve">финансовое обеспечение административно-управленческой деятельности</w:t>
      </w:r>
      <w:r>
        <w:rPr>
          <w:sz w:val="28"/>
          <w:szCs w:val="28"/>
        </w:rPr>
        <w:t xml:space="preserve"> Фонда </w:t>
      </w:r>
      <w:r>
        <w:rPr>
          <w:sz w:val="28"/>
          <w:szCs w:val="28"/>
        </w:rPr>
        <w:t xml:space="preserve">в связи с передачей полномочий по организации оказания медицинской помощи в рамках </w:t>
      </w:r>
      <w:r>
        <w:rPr>
          <w:sz w:val="28"/>
          <w:szCs w:val="28"/>
        </w:rPr>
        <w:t xml:space="preserve">свербазовой</w:t>
      </w:r>
      <w:r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ОМС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3 460,0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</w:t>
        <w:br/>
        <w:t xml:space="preserve">в сумме </w:t>
      </w:r>
      <w:r>
        <w:rPr>
          <w:sz w:val="28"/>
          <w:szCs w:val="28"/>
        </w:rPr>
        <w:t xml:space="preserve">788 249,0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остатка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ежбюджетн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а из бюджета </w:t>
      </w:r>
      <w:r>
        <w:rPr>
          <w:sz w:val="28"/>
          <w:szCs w:val="28"/>
        </w:rPr>
        <w:t xml:space="preserve">Московской области</w:t>
      </w:r>
      <w:r>
        <w:rPr>
          <w:sz w:val="28"/>
          <w:szCs w:val="28"/>
        </w:rPr>
        <w:t xml:space="preserve">, образовавшегося по состоянию на 01.01.2025 и направленного в 2025 году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дополнител</w:t>
      </w:r>
      <w:r>
        <w:rPr>
          <w:sz w:val="28"/>
          <w:szCs w:val="28"/>
        </w:rPr>
        <w:t xml:space="preserve">ьное финансовое обеспечение реализации Московской областной программы обязательного медицинского страхования в части базовой программы обязательного медицинского страхования для финансового обеспечения неисполненных бюджетных обязательств Фонда, возникших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отчетном году и предъявленных к исполнению в текущем году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1 048 400,5</w:t>
      </w:r>
      <w:r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4) увеличение общего объема расходов бюджета Фонда</w:t>
      </w:r>
      <w:r>
        <w:rPr>
          <w:sz w:val="28"/>
          <w:szCs w:val="28"/>
        </w:rPr>
        <w:t xml:space="preserve"> на сумму 3 664 148,0 тыс. рублей и 3 683 743,0 тыс. рублей </w:t>
      </w:r>
      <w:r>
        <w:rPr>
          <w:sz w:val="28"/>
          <w:szCs w:val="28"/>
        </w:rPr>
        <w:t xml:space="preserve">в 2026 и 2027 годах соответственно, 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ф</w:t>
      </w:r>
      <w:r>
        <w:rPr>
          <w:sz w:val="28"/>
          <w:szCs w:val="28"/>
        </w:rPr>
        <w:t xml:space="preserve">инансовое обеспечение 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</w:t>
      </w:r>
      <w:r>
        <w:rPr>
          <w:sz w:val="28"/>
          <w:szCs w:val="28"/>
        </w:rPr>
        <w:t xml:space="preserve"> в сумме 3 658 381,0 тыс. рублей и 3 677 976,0 </w:t>
      </w:r>
      <w:r>
        <w:rPr>
          <w:sz w:val="28"/>
          <w:szCs w:val="28"/>
        </w:rPr>
        <w:t xml:space="preserve">тыс. рублей соответственно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>
        <w:rPr>
          <w:sz w:val="28"/>
          <w:szCs w:val="28"/>
        </w:rPr>
        <w:t xml:space="preserve">финансовое обеспечение административно-управленческой деятельности</w:t>
      </w:r>
      <w:r>
        <w:rPr>
          <w:sz w:val="28"/>
          <w:szCs w:val="28"/>
        </w:rPr>
        <w:t xml:space="preserve"> Фонда </w:t>
      </w:r>
      <w:r>
        <w:rPr>
          <w:sz w:val="28"/>
          <w:szCs w:val="28"/>
        </w:rPr>
        <w:t xml:space="preserve">в связи с передачей полномочий по организации оказания медицинской помощи в рамках </w:t>
      </w:r>
      <w:r>
        <w:rPr>
          <w:sz w:val="28"/>
          <w:szCs w:val="28"/>
        </w:rPr>
        <w:t xml:space="preserve">свербазовой</w:t>
      </w:r>
      <w:r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ОМС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5 767,0 тыс. рублей на 2026 и 2027 годы ежегодно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объема средств нормированного страхового запаса Фонда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45</w:t>
      </w:r>
      <w:r>
        <w:rPr>
          <w:sz w:val="28"/>
          <w:szCs w:val="28"/>
        </w:rPr>
        <w:t xml:space="preserve"> 042 646,2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46 103 723,0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(+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 061 076,8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bookmarkStart w:id="0" w:name="_GoBack"/>
      <w:r/>
      <w:bookmarkEnd w:id="0"/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перераспределение бюджетных ассигнований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соответствии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 п.1 ч.1 и ч.4.2 статьи 2 Федерального закона от 29.12.2006 № 255-ФЗ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«Об обязательном социальном страховании на случай временной нетрудоспособности и в связи с материнством»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обусловленное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необходимостью оплаты первых трех дней листов нетрудоспособности исполнителям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договорам ЭКМП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основному мероприятию «Обеспечение исполнения функ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ций при реализации полномочий территориального органа, осуществляющего деятельность в сфере обязательного медицинского страхования» в пределах целевой статьи расходов 01 7 02 50930 «Финансовое обеспечение организации обязательного медицинского страхования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территориях субъектов Российской Федерации»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  <w:br/>
        <w:t xml:space="preserve">на сумму 100,0 тыс. рублей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14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увеличение общей суммы и</w:t>
      </w:r>
      <w:r>
        <w:rPr>
          <w:sz w:val="28"/>
          <w:szCs w:val="28"/>
        </w:rPr>
        <w:t xml:space="preserve">сточник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 внутреннего финансирования дефицита бюджета </w:t>
      </w:r>
      <w:r>
        <w:rPr>
          <w:sz w:val="28"/>
          <w:szCs w:val="28"/>
        </w:rPr>
        <w:t xml:space="preserve">Фонда</w:t>
      </w:r>
      <w:r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73</w:t>
      </w:r>
      <w:r>
        <w:rPr>
          <w:sz w:val="28"/>
          <w:szCs w:val="28"/>
        </w:rPr>
        <w:t xml:space="preserve"> 976,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</w:t>
      </w:r>
      <w:r>
        <w:rPr>
          <w:sz w:val="28"/>
          <w:szCs w:val="28"/>
        </w:rPr>
        <w:t xml:space="preserve"> до 1 122 376,9 </w:t>
        <w:br/>
        <w:t xml:space="preserve">тыс. рублей (+ 1 048 400,5 тыс. рублей) за счет </w:t>
      </w:r>
      <w:r>
        <w:rPr>
          <w:sz w:val="28"/>
          <w:szCs w:val="28"/>
        </w:rPr>
        <w:t xml:space="preserve">остатка</w:t>
      </w:r>
      <w:r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ежбюджетн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а </w:t>
        <w:br/>
      </w:r>
      <w:r>
        <w:rPr>
          <w:sz w:val="28"/>
          <w:szCs w:val="28"/>
        </w:rPr>
        <w:t xml:space="preserve">из бюджета Московской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дополнительное финансовое обеспечение реализации Московской областной программы обязательного медицинского страхования</w:t>
      </w:r>
      <w:r>
        <w:rPr>
          <w:sz w:val="28"/>
          <w:szCs w:val="28"/>
        </w:rPr>
        <w:t xml:space="preserve">, образовавшегося по состоянию на 01.01.2025.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69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Принятие данного документа не потребует: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1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- экономических, структурных изменений в системе управления;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- признания утратившими силу, приостановления, изменения или принятия нормативных правовых актов Московской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Порядок принятия проекта распоряжения осуществляется в соответствии</w:t>
      </w:r>
      <w:r>
        <w:rPr>
          <w:sz w:val="28"/>
          <w:szCs w:val="28"/>
        </w:rPr>
        <w:br/>
        <w:t xml:space="preserve">с постановлением Губернатора Московской области № 150-ПГ «О Регламенте Правительства Московской области».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распоряжения Правительства Московской области </w:t>
        <w:br/>
        <w:t xml:space="preserve">в соответствии </w:t>
      </w:r>
      <w:r>
        <w:rPr>
          <w:sz w:val="28"/>
          <w:szCs w:val="28"/>
        </w:rPr>
        <w:t xml:space="preserve">с распоряжением Губернатора МО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196-РГ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«</w:t>
      </w:r>
      <w:r>
        <w:rPr>
          <w:sz w:val="28"/>
          <w:szCs w:val="28"/>
        </w:rPr>
        <w:t xml:space="preserve">О направлении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прокуратуру Московской области нормативных правовых актов Московской области и их проектов, а также проектов федеральных законов, непосредственно связанных с компетенцией органов прокуратуры, разработанных ц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нтральными исполнительными органами Московской области, государственными органами Московской области и планируемых к внесению Московской областной Думой в Государственную Думу Федерального Собрания Российской Федерации </w:t>
        <w:br/>
        <w:t xml:space="preserve">в порядке законодательной инициативы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не требует направления в Прокуратуру Московской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Правовым управлением Фонда проведена правовая и антикоррупционная экспертизы, в результате которых коррупциогенные факторы в тексте проекта распоряжения не выявлены.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6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размещен на сайте </w:t>
      </w:r>
      <w:hyperlink r:id="rId15" w:tooltip="http://www.mofoms.ru" w:history="1">
        <w:r>
          <w:rPr>
            <w:rStyle w:val="91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www</w:t>
        </w:r>
        <w:r>
          <w:rPr>
            <w:rStyle w:val="916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.</w:t>
        </w:r>
        <w:r>
          <w:rPr>
            <w:rStyle w:val="91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mofoms</w:t>
        </w:r>
        <w:r>
          <w:rPr>
            <w:rStyle w:val="916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.</w:t>
        </w:r>
        <w:r>
          <w:rPr>
            <w:rStyle w:val="91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 xml:space="preserve">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4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И.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 д</w:t>
      </w:r>
      <w:r>
        <w:rPr>
          <w:sz w:val="28"/>
          <w:szCs w:val="28"/>
        </w:rPr>
        <w:t xml:space="preserve">иректор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фонда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обязательного медицинского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страхования Московской области              </w:t>
      </w:r>
      <w:r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Е.А. Боброва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134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78244801"/>
      <w:docPartObj>
        <w:docPartGallery w:val="Page Numbers (Top of Page)"/>
        <w:docPartUnique w:val="true"/>
      </w:docPartObj>
      <w:rPr/>
    </w:sdtPr>
    <w:sdtContent>
      <w:p>
        <w:pPr>
          <w:pStyle w:val="91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</w:p>
    </w:sdtContent>
  </w:sdt>
  <w:p>
    <w:pPr>
      <w:pStyle w:val="91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4</w:t>
    </w:r>
    <w:r>
      <w:rPr>
        <w:rFonts w:ascii="Times New Roman" w:hAnsi="Times New Roman" w:cs="Times New Roman"/>
        <w:sz w:val="28"/>
      </w:rPr>
    </w:r>
    <w:r>
      <w:rPr>
        <w:rFonts w:ascii="Times New Roman" w:hAnsi="Times New Roman" w:cs="Times New Roman"/>
        <w:sz w:val="2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4">
    <w:name w:val="Heading 1 Char"/>
    <w:basedOn w:val="909"/>
    <w:link w:val="908"/>
    <w:uiPriority w:val="9"/>
    <w:rPr>
      <w:rFonts w:ascii="Arial" w:hAnsi="Arial" w:eastAsia="Arial" w:cs="Arial"/>
      <w:sz w:val="40"/>
      <w:szCs w:val="40"/>
    </w:rPr>
  </w:style>
  <w:style w:type="paragraph" w:styleId="735">
    <w:name w:val="Heading 2"/>
    <w:basedOn w:val="907"/>
    <w:next w:val="907"/>
    <w:link w:val="7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6">
    <w:name w:val="Heading 2 Char"/>
    <w:basedOn w:val="909"/>
    <w:link w:val="735"/>
    <w:uiPriority w:val="9"/>
    <w:rPr>
      <w:rFonts w:ascii="Arial" w:hAnsi="Arial" w:eastAsia="Arial" w:cs="Arial"/>
      <w:sz w:val="34"/>
    </w:rPr>
  </w:style>
  <w:style w:type="paragraph" w:styleId="737">
    <w:name w:val="Heading 3"/>
    <w:basedOn w:val="907"/>
    <w:next w:val="907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8">
    <w:name w:val="Heading 3 Char"/>
    <w:basedOn w:val="909"/>
    <w:link w:val="737"/>
    <w:uiPriority w:val="9"/>
    <w:rPr>
      <w:rFonts w:ascii="Arial" w:hAnsi="Arial" w:eastAsia="Arial" w:cs="Arial"/>
      <w:sz w:val="30"/>
      <w:szCs w:val="30"/>
    </w:rPr>
  </w:style>
  <w:style w:type="paragraph" w:styleId="739">
    <w:name w:val="Heading 4"/>
    <w:basedOn w:val="907"/>
    <w:next w:val="907"/>
    <w:link w:val="7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0">
    <w:name w:val="Heading 4 Char"/>
    <w:basedOn w:val="909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7"/>
    <w:next w:val="907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09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7"/>
    <w:next w:val="907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09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09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7"/>
    <w:next w:val="907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09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7"/>
    <w:next w:val="907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09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List Paragraph"/>
    <w:basedOn w:val="907"/>
    <w:uiPriority w:val="34"/>
    <w:qFormat/>
    <w:pPr>
      <w:contextualSpacing/>
      <w:ind w:left="720"/>
    </w:pPr>
  </w:style>
  <w:style w:type="paragraph" w:styleId="752">
    <w:name w:val="No Spacing"/>
    <w:uiPriority w:val="1"/>
    <w:qFormat/>
    <w:pPr>
      <w:spacing w:before="0" w:after="0" w:line="240" w:lineRule="auto"/>
    </w:pPr>
  </w:style>
  <w:style w:type="paragraph" w:styleId="753">
    <w:name w:val="Title"/>
    <w:basedOn w:val="907"/>
    <w:next w:val="907"/>
    <w:link w:val="7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4">
    <w:name w:val="Title Char"/>
    <w:basedOn w:val="909"/>
    <w:link w:val="753"/>
    <w:uiPriority w:val="10"/>
    <w:rPr>
      <w:sz w:val="48"/>
      <w:szCs w:val="48"/>
    </w:rPr>
  </w:style>
  <w:style w:type="paragraph" w:styleId="755">
    <w:name w:val="Subtitle"/>
    <w:basedOn w:val="907"/>
    <w:next w:val="907"/>
    <w:link w:val="756"/>
    <w:uiPriority w:val="11"/>
    <w:qFormat/>
    <w:pPr>
      <w:spacing w:before="200" w:after="200"/>
    </w:pPr>
    <w:rPr>
      <w:sz w:val="24"/>
      <w:szCs w:val="24"/>
    </w:rPr>
  </w:style>
  <w:style w:type="character" w:styleId="756">
    <w:name w:val="Subtitle Char"/>
    <w:basedOn w:val="909"/>
    <w:link w:val="755"/>
    <w:uiPriority w:val="11"/>
    <w:rPr>
      <w:sz w:val="24"/>
      <w:szCs w:val="24"/>
    </w:rPr>
  </w:style>
  <w:style w:type="paragraph" w:styleId="757">
    <w:name w:val="Quote"/>
    <w:basedOn w:val="907"/>
    <w:next w:val="907"/>
    <w:link w:val="758"/>
    <w:uiPriority w:val="29"/>
    <w:qFormat/>
    <w:pPr>
      <w:ind w:left="720" w:right="720"/>
    </w:pPr>
    <w:rPr>
      <w:i/>
    </w:r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07"/>
    <w:next w:val="907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>
    <w:name w:val="Intense Quote Char"/>
    <w:link w:val="759"/>
    <w:uiPriority w:val="30"/>
    <w:rPr>
      <w:i/>
    </w:rPr>
  </w:style>
  <w:style w:type="character" w:styleId="761">
    <w:name w:val="Header Char"/>
    <w:basedOn w:val="909"/>
    <w:link w:val="917"/>
    <w:uiPriority w:val="99"/>
  </w:style>
  <w:style w:type="character" w:styleId="762">
    <w:name w:val="Footer Char"/>
    <w:basedOn w:val="909"/>
    <w:link w:val="919"/>
    <w:uiPriority w:val="99"/>
  </w:style>
  <w:style w:type="paragraph" w:styleId="763">
    <w:name w:val="Caption"/>
    <w:basedOn w:val="907"/>
    <w:next w:val="907"/>
    <w:link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4">
    <w:name w:val="Caption Char"/>
    <w:basedOn w:val="909"/>
    <w:link w:val="763"/>
    <w:uiPriority w:val="35"/>
    <w:rPr>
      <w:b/>
      <w:bCs/>
      <w:color w:val="4f81bd" w:themeColor="accent1"/>
      <w:sz w:val="18"/>
      <w:szCs w:val="18"/>
    </w:rPr>
  </w:style>
  <w:style w:type="table" w:styleId="765">
    <w:name w:val="Table Grid Light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4">
    <w:name w:val="Grid Table 4 - Accent 2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Grid Table 4 - Accent 3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6">
    <w:name w:val="Grid Table 4 - Accent 4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Grid Table 4 - Accent 5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7">
    <w:name w:val="Grid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8">
    <w:name w:val="Grid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9">
    <w:name w:val="Grid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0">
    <w:name w:val="Grid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1">
    <w:name w:val="Grid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7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8">
    <w:name w:val="List Table 2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9">
    <w:name w:val="List Table 2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0">
    <w:name w:val="List Table 2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1">
    <w:name w:val="List Table 2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2">
    <w:name w:val="List Table 2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3">
    <w:name w:val="List Table 2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6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6">
    <w:name w:val="List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List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9">
    <w:name w:val="List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List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1">
    <w:name w:val="List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2">
    <w:name w:val="List Table 7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3">
    <w:name w:val="List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4">
    <w:name w:val="List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5">
    <w:name w:val="List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6">
    <w:name w:val="List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7">
    <w:name w:val="List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8">
    <w:name w:val="List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9">
    <w:name w:val="Lined - Accent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Lined - Accent 1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1">
    <w:name w:val="Lined - Accent 2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2">
    <w:name w:val="Lined - Accent 3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3">
    <w:name w:val="Lined - Accent 4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4">
    <w:name w:val="Lined - Accent 5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5">
    <w:name w:val="Lined - Accent 6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6">
    <w:name w:val="Bordered &amp; Lined - Accent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Bordered &amp; Lined - Accent 1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Bordered &amp; Lined - Accent 2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Bordered &amp; Lined - Accent 3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Bordered &amp; Lined - Accent 4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Bordered &amp; Lined - Accent 5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Bordered &amp; Lined - Accent 6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4">
    <w:name w:val="Bordered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6">
    <w:name w:val="Bordered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7">
    <w:name w:val="Bordered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8">
    <w:name w:val="Bordered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9">
    <w:name w:val="Bordered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basedOn w:val="909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basedOn w:val="909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qFormat/>
  </w:style>
  <w:style w:type="paragraph" w:styleId="908">
    <w:name w:val="Heading 1"/>
    <w:basedOn w:val="907"/>
    <w:link w:val="924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909" w:default="1">
    <w:name w:val="Default Paragraph Font"/>
    <w:uiPriority w:val="1"/>
    <w:semiHidden/>
    <w:unhideWhenUsed/>
  </w:style>
  <w:style w:type="table" w:styleId="9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1" w:default="1">
    <w:name w:val="No List"/>
    <w:uiPriority w:val="99"/>
    <w:semiHidden/>
    <w:unhideWhenUsed/>
  </w:style>
  <w:style w:type="paragraph" w:styleId="912">
    <w:name w:val="Body Text Indent"/>
    <w:basedOn w:val="907"/>
    <w:link w:val="913"/>
    <w:pPr>
      <w:ind w:left="284" w:hanging="284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13" w:customStyle="1">
    <w:name w:val="Основной текст с отступом Знак"/>
    <w:basedOn w:val="909"/>
    <w:link w:val="912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14">
    <w:name w:val="Body Text"/>
    <w:basedOn w:val="907"/>
    <w:link w:val="915"/>
    <w:pPr>
      <w:jc w:val="both"/>
      <w:spacing w:after="120" w:line="36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5" w:customStyle="1">
    <w:name w:val="Основной текст Знак"/>
    <w:basedOn w:val="909"/>
    <w:link w:val="91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6">
    <w:name w:val="Hyperlink"/>
    <w:basedOn w:val="909"/>
    <w:uiPriority w:val="99"/>
    <w:unhideWhenUsed/>
    <w:rPr>
      <w:color w:val="0000ff" w:themeColor="hyperlink"/>
      <w:u w:val="single"/>
    </w:rPr>
  </w:style>
  <w:style w:type="paragraph" w:styleId="917">
    <w:name w:val="Header"/>
    <w:basedOn w:val="907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Верхний колонтитул Знак"/>
    <w:basedOn w:val="909"/>
    <w:link w:val="917"/>
    <w:uiPriority w:val="99"/>
  </w:style>
  <w:style w:type="paragraph" w:styleId="919">
    <w:name w:val="Footer"/>
    <w:basedOn w:val="907"/>
    <w:link w:val="92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0" w:customStyle="1">
    <w:name w:val="Нижний колонтитул Знак"/>
    <w:basedOn w:val="909"/>
    <w:link w:val="919"/>
    <w:uiPriority w:val="99"/>
  </w:style>
  <w:style w:type="paragraph" w:styleId="921">
    <w:name w:val="Balloon Text"/>
    <w:basedOn w:val="907"/>
    <w:link w:val="92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2" w:customStyle="1">
    <w:name w:val="Текст выноски Знак"/>
    <w:basedOn w:val="909"/>
    <w:link w:val="921"/>
    <w:uiPriority w:val="99"/>
    <w:semiHidden/>
    <w:rPr>
      <w:rFonts w:ascii="Tahoma" w:hAnsi="Tahoma" w:cs="Tahoma"/>
      <w:sz w:val="16"/>
      <w:szCs w:val="16"/>
    </w:rPr>
  </w:style>
  <w:style w:type="table" w:styleId="923">
    <w:name w:val="Table Grid"/>
    <w:basedOn w:val="91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4" w:customStyle="1">
    <w:name w:val="Заголовок 1 Знак"/>
    <w:basedOn w:val="909"/>
    <w:link w:val="908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25">
    <w:name w:val="Body Text 3"/>
    <w:basedOn w:val="907"/>
    <w:link w:val="926"/>
    <w:uiPriority w:val="99"/>
    <w:semiHidden/>
    <w:unhideWhenUsed/>
    <w:pPr>
      <w:spacing w:after="120"/>
    </w:pPr>
    <w:rPr>
      <w:sz w:val="16"/>
      <w:szCs w:val="16"/>
    </w:rPr>
  </w:style>
  <w:style w:type="character" w:styleId="926" w:customStyle="1">
    <w:name w:val="Основной текст 3 Знак"/>
    <w:basedOn w:val="909"/>
    <w:link w:val="925"/>
    <w:uiPriority w:val="99"/>
    <w:semiHidden/>
    <w:rPr>
      <w:sz w:val="16"/>
      <w:szCs w:val="16"/>
    </w:rPr>
  </w:style>
  <w:style w:type="paragraph" w:styleId="927">
    <w:name w:val="Normal (Web)"/>
    <w:basedOn w:val="90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://www.mofoms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kazanenko_iv</cp:lastModifiedBy>
  <cp:revision>192</cp:revision>
  <dcterms:created xsi:type="dcterms:W3CDTF">2023-11-07T12:40:00Z</dcterms:created>
  <dcterms:modified xsi:type="dcterms:W3CDTF">2025-05-20T11:52:20Z</dcterms:modified>
</cp:coreProperties>
</file>